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D1" w:rsidRDefault="00AE5AD1" w:rsidP="00D63B29">
      <w:pPr>
        <w:pStyle w:val="NormalWeb"/>
        <w:spacing w:before="0" w:beforeAutospacing="0" w:after="0" w:afterAutospacing="0"/>
        <w:rPr>
          <w:rFonts w:ascii="Arial" w:hAnsi="Arial" w:cs="Arial"/>
        </w:rPr>
      </w:pPr>
    </w:p>
    <w:p w:rsidR="00AE5AD1" w:rsidRPr="00107977" w:rsidRDefault="00AE5AD1" w:rsidP="00D62569">
      <w:pPr>
        <w:pBdr>
          <w:bottom w:val="single" w:sz="4" w:space="1" w:color="auto"/>
        </w:pBdr>
        <w:jc w:val="both"/>
        <w:rPr>
          <w:rFonts w:ascii="Arial" w:hAnsi="Arial" w:cs="Arial"/>
          <w:color w:val="000000"/>
          <w:sz w:val="28"/>
          <w:szCs w:val="28"/>
        </w:rPr>
      </w:pPr>
      <w:r w:rsidRPr="00107977">
        <w:rPr>
          <w:rFonts w:ascii="Arial" w:hAnsi="Arial" w:cs="Arial"/>
          <w:color w:val="000000"/>
          <w:sz w:val="28"/>
          <w:szCs w:val="28"/>
        </w:rPr>
        <w:t>For immediate release</w:t>
      </w:r>
    </w:p>
    <w:p w:rsidR="00AE5AD1" w:rsidRDefault="00AE5AD1" w:rsidP="00D62569">
      <w:pPr>
        <w:pBdr>
          <w:bottom w:val="single" w:sz="4" w:space="1" w:color="auto"/>
        </w:pBdr>
        <w:jc w:val="both"/>
        <w:rPr>
          <w:rFonts w:ascii="Arial" w:hAnsi="Arial" w:cs="Arial"/>
          <w:color w:val="000000"/>
          <w:sz w:val="28"/>
          <w:szCs w:val="28"/>
        </w:rPr>
      </w:pPr>
    </w:p>
    <w:p w:rsidR="00AE5AD1" w:rsidRDefault="00AE5AD1" w:rsidP="00D62569">
      <w:pPr>
        <w:pBdr>
          <w:bottom w:val="single" w:sz="4" w:space="1" w:color="auto"/>
        </w:pBdr>
        <w:jc w:val="both"/>
        <w:rPr>
          <w:rFonts w:ascii="Arial" w:hAnsi="Arial" w:cs="Arial"/>
          <w:color w:val="000000"/>
          <w:sz w:val="28"/>
          <w:szCs w:val="28"/>
        </w:rPr>
      </w:pPr>
      <w:r>
        <w:rPr>
          <w:rFonts w:ascii="Arial" w:hAnsi="Arial" w:cs="Arial"/>
          <w:color w:val="000000"/>
          <w:sz w:val="28"/>
          <w:szCs w:val="28"/>
        </w:rPr>
        <w:t>October 5, 2011</w:t>
      </w:r>
    </w:p>
    <w:p w:rsidR="00AE5AD1" w:rsidRPr="00107977" w:rsidRDefault="00AE5AD1" w:rsidP="00D62569">
      <w:pPr>
        <w:pBdr>
          <w:bottom w:val="single" w:sz="4" w:space="1" w:color="auto"/>
        </w:pBdr>
        <w:jc w:val="both"/>
        <w:rPr>
          <w:rFonts w:ascii="Arial" w:hAnsi="Arial" w:cs="Arial"/>
          <w:color w:val="000000"/>
          <w:sz w:val="28"/>
          <w:szCs w:val="28"/>
        </w:rPr>
      </w:pPr>
      <w:smartTag w:uri="urn:schemas-microsoft-com:office:smarttags" w:element="City">
        <w:smartTag w:uri="urn:schemas-microsoft-com:office:smarttags" w:element="place">
          <w:r w:rsidRPr="00107977">
            <w:rPr>
              <w:rFonts w:ascii="Arial" w:hAnsi="Arial" w:cs="Arial"/>
              <w:color w:val="000000"/>
              <w:sz w:val="28"/>
              <w:szCs w:val="28"/>
            </w:rPr>
            <w:t>Ladysmith</w:t>
          </w:r>
        </w:smartTag>
        <w:r w:rsidRPr="00107977">
          <w:rPr>
            <w:rFonts w:ascii="Arial" w:hAnsi="Arial" w:cs="Arial"/>
            <w:color w:val="000000"/>
            <w:sz w:val="28"/>
            <w:szCs w:val="28"/>
          </w:rPr>
          <w:t xml:space="preserve"> </w:t>
        </w:r>
        <w:smartTag w:uri="urn:schemas-microsoft-com:office:smarttags" w:element="PersonName">
          <w:smartTag w:uri="urn:schemas-microsoft-com:office:smarttags" w:element="State">
            <w:r w:rsidRPr="00107977">
              <w:rPr>
                <w:rFonts w:ascii="Arial" w:hAnsi="Arial" w:cs="Arial"/>
                <w:color w:val="000000"/>
                <w:sz w:val="28"/>
                <w:szCs w:val="28"/>
              </w:rPr>
              <w:t>BC</w:t>
            </w:r>
          </w:smartTag>
        </w:smartTag>
        <w:r w:rsidRPr="00107977">
          <w:rPr>
            <w:rFonts w:ascii="Arial" w:hAnsi="Arial" w:cs="Arial"/>
            <w:color w:val="000000"/>
            <w:sz w:val="28"/>
            <w:szCs w:val="28"/>
          </w:rPr>
          <w:t xml:space="preserve"> </w:t>
        </w:r>
        <w:smartTag w:uri="urn:schemas-microsoft-com:office:smarttags" w:element="PersonName">
          <w:smartTag w:uri="urn:schemas-microsoft-com:office:smarttags" w:element="country-region">
            <w:r w:rsidRPr="00107977">
              <w:rPr>
                <w:rFonts w:ascii="Arial" w:hAnsi="Arial" w:cs="Arial"/>
                <w:color w:val="000000"/>
                <w:sz w:val="28"/>
                <w:szCs w:val="28"/>
              </w:rPr>
              <w:t>Canada</w:t>
            </w:r>
          </w:smartTag>
        </w:smartTag>
      </w:smartTag>
    </w:p>
    <w:p w:rsidR="00AE5AD1" w:rsidRDefault="00AE5AD1" w:rsidP="00D62569">
      <w:pPr>
        <w:pBdr>
          <w:bottom w:val="single" w:sz="4" w:space="1" w:color="auto"/>
        </w:pBdr>
        <w:jc w:val="both"/>
        <w:rPr>
          <w:rFonts w:ascii="Arial" w:hAnsi="Arial" w:cs="Arial"/>
          <w:b/>
          <w:color w:val="000000"/>
          <w:sz w:val="28"/>
          <w:szCs w:val="28"/>
        </w:rPr>
      </w:pPr>
    </w:p>
    <w:p w:rsidR="00AE5AD1" w:rsidRPr="006647DB" w:rsidRDefault="00AE5AD1" w:rsidP="00D62569">
      <w:pPr>
        <w:pBdr>
          <w:bottom w:val="single" w:sz="4" w:space="1" w:color="auto"/>
        </w:pBdr>
        <w:jc w:val="both"/>
        <w:rPr>
          <w:rFonts w:ascii="Arial" w:hAnsi="Arial" w:cs="Arial"/>
          <w:b/>
          <w:color w:val="000000"/>
        </w:rPr>
      </w:pPr>
      <w:r w:rsidRPr="006647DB">
        <w:rPr>
          <w:rFonts w:ascii="Arial" w:hAnsi="Arial" w:cs="Arial"/>
          <w:b/>
          <w:color w:val="000000"/>
        </w:rPr>
        <w:t>OAS Human Rights Commission Grants Hearing on Hul'qumi'</w:t>
      </w:r>
      <w:smartTag w:uri="urn:schemas-microsoft-com:office:smarttags" w:element="PersonName">
        <w:smartTag w:uri="urn:schemas-microsoft-com:office:smarttags" w:element="PlaceName">
          <w:smartTag w:uri="urn:schemas-microsoft-com:office:smarttags" w:element="place">
            <w:r w:rsidRPr="006647DB">
              <w:rPr>
                <w:rFonts w:ascii="Arial" w:hAnsi="Arial" w:cs="Arial"/>
                <w:b/>
                <w:color w:val="000000"/>
              </w:rPr>
              <w:t>num</w:t>
            </w:r>
          </w:smartTag>
        </w:smartTag>
        <w:r w:rsidRPr="006647DB">
          <w:rPr>
            <w:rFonts w:ascii="Arial" w:hAnsi="Arial" w:cs="Arial"/>
            <w:b/>
            <w:color w:val="000000"/>
          </w:rPr>
          <w:t xml:space="preserve"> </w:t>
        </w:r>
        <w:smartTag w:uri="urn:schemas-microsoft-com:office:smarttags" w:element="PersonName">
          <w:r w:rsidRPr="006647DB">
            <w:rPr>
              <w:rFonts w:ascii="Arial" w:hAnsi="Arial" w:cs="Arial"/>
              <w:b/>
              <w:color w:val="000000"/>
            </w:rPr>
            <w:t>Land</w:t>
          </w:r>
        </w:smartTag>
      </w:smartTag>
      <w:r w:rsidRPr="006647DB">
        <w:rPr>
          <w:rFonts w:ascii="Arial" w:hAnsi="Arial" w:cs="Arial"/>
          <w:b/>
          <w:color w:val="000000"/>
        </w:rPr>
        <w:t xml:space="preserve"> Claim </w:t>
      </w:r>
      <w:r w:rsidRPr="00427D88">
        <w:rPr>
          <w:rFonts w:ascii="Arial" w:hAnsi="Arial" w:cs="Arial"/>
          <w:b/>
          <w:color w:val="000000"/>
          <w:sz w:val="28"/>
          <w:szCs w:val="28"/>
        </w:rPr>
        <w:t>Amnesty</w:t>
      </w:r>
      <w:r w:rsidRPr="006647DB">
        <w:rPr>
          <w:rFonts w:ascii="Arial" w:hAnsi="Arial" w:cs="Arial"/>
          <w:color w:val="000000"/>
        </w:rPr>
        <w:t xml:space="preserve"> International, National Assembly of First Nations File Briefs in Support</w:t>
      </w:r>
    </w:p>
    <w:p w:rsidR="00AE5AD1" w:rsidRDefault="00AE5AD1" w:rsidP="00F60BBB">
      <w:pPr>
        <w:jc w:val="both"/>
        <w:rPr>
          <w:rFonts w:ascii="Arial" w:hAnsi="Arial" w:cs="Arial"/>
          <w:color w:val="000000"/>
          <w:sz w:val="20"/>
          <w:szCs w:val="20"/>
        </w:rPr>
      </w:pPr>
      <w:r w:rsidRPr="00D27F1A">
        <w:rPr>
          <w:rFonts w:ascii="Arial" w:hAnsi="Arial" w:cs="Arial"/>
          <w:color w:val="000000"/>
          <w:sz w:val="20"/>
          <w:szCs w:val="20"/>
        </w:rPr>
        <w:t> </w:t>
      </w:r>
    </w:p>
    <w:p w:rsidR="00AE5AD1" w:rsidRDefault="00AE5AD1" w:rsidP="007A24D6">
      <w:pPr>
        <w:jc w:val="both"/>
        <w:rPr>
          <w:rFonts w:ascii="Arial" w:hAnsi="Arial" w:cs="Arial"/>
          <w:color w:val="000000"/>
        </w:rPr>
      </w:pPr>
      <w:r>
        <w:rPr>
          <w:rFonts w:ascii="Arial" w:hAnsi="Arial" w:cs="Arial"/>
          <w:color w:val="000000"/>
        </w:rPr>
        <w:t xml:space="preserve">In an unprecedented action, the </w:t>
      </w:r>
      <w:r w:rsidRPr="00362929">
        <w:rPr>
          <w:rFonts w:ascii="Arial" w:hAnsi="Arial" w:cs="Arial"/>
          <w:color w:val="000000"/>
        </w:rPr>
        <w:t>Inter-American Commission o</w:t>
      </w:r>
      <w:r>
        <w:rPr>
          <w:rFonts w:ascii="Arial" w:hAnsi="Arial" w:cs="Arial"/>
          <w:color w:val="000000"/>
        </w:rPr>
        <w:t>n</w:t>
      </w:r>
      <w:r w:rsidRPr="00362929">
        <w:rPr>
          <w:rFonts w:ascii="Arial" w:hAnsi="Arial" w:cs="Arial"/>
          <w:color w:val="000000"/>
        </w:rPr>
        <w:t xml:space="preserve"> Human Rights</w:t>
      </w:r>
      <w:r>
        <w:rPr>
          <w:rFonts w:ascii="Arial" w:hAnsi="Arial" w:cs="Arial"/>
          <w:color w:val="000000"/>
        </w:rPr>
        <w:t xml:space="preserve"> </w:t>
      </w:r>
      <w:r w:rsidRPr="00362929">
        <w:rPr>
          <w:rFonts w:ascii="Arial" w:hAnsi="Arial" w:cs="Arial"/>
          <w:color w:val="000000"/>
        </w:rPr>
        <w:t>of the Organization o</w:t>
      </w:r>
      <w:r>
        <w:rPr>
          <w:rFonts w:ascii="Arial" w:hAnsi="Arial" w:cs="Arial"/>
          <w:color w:val="000000"/>
        </w:rPr>
        <w:t>f</w:t>
      </w:r>
      <w:r w:rsidRPr="00362929">
        <w:rPr>
          <w:rFonts w:ascii="Arial" w:hAnsi="Arial" w:cs="Arial"/>
          <w:color w:val="000000"/>
        </w:rPr>
        <w:t xml:space="preserve"> American States (OAS)</w:t>
      </w:r>
      <w:r>
        <w:rPr>
          <w:rFonts w:ascii="Arial" w:hAnsi="Arial" w:cs="Arial"/>
          <w:color w:val="000000"/>
        </w:rPr>
        <w:t xml:space="preserve"> </w:t>
      </w:r>
      <w:r w:rsidRPr="00427D88">
        <w:rPr>
          <w:rFonts w:ascii="Arial" w:hAnsi="Arial" w:cs="Arial"/>
          <w:color w:val="000000"/>
        </w:rPr>
        <w:t xml:space="preserve">will hear a </w:t>
      </w:r>
      <w:r>
        <w:rPr>
          <w:rFonts w:ascii="Arial" w:hAnsi="Arial" w:cs="Arial"/>
          <w:color w:val="000000"/>
        </w:rPr>
        <w:t xml:space="preserve">human rights </w:t>
      </w:r>
      <w:r w:rsidRPr="00427D88">
        <w:rPr>
          <w:rFonts w:ascii="Arial" w:hAnsi="Arial" w:cs="Arial"/>
          <w:color w:val="000000"/>
        </w:rPr>
        <w:t>complaint brought by</w:t>
      </w:r>
      <w:r>
        <w:rPr>
          <w:rFonts w:ascii="Arial" w:hAnsi="Arial" w:cs="Arial"/>
          <w:color w:val="000000"/>
        </w:rPr>
        <w:t xml:space="preserve"> six British Columbia </w:t>
      </w:r>
      <w:r w:rsidRPr="00427D88">
        <w:rPr>
          <w:rFonts w:ascii="Arial" w:hAnsi="Arial" w:cs="Arial"/>
          <w:color w:val="000000"/>
        </w:rPr>
        <w:t>First Nations</w:t>
      </w:r>
      <w:r>
        <w:rPr>
          <w:rFonts w:ascii="Arial" w:hAnsi="Arial" w:cs="Arial"/>
          <w:color w:val="000000"/>
        </w:rPr>
        <w:t xml:space="preserve">, charging </w:t>
      </w:r>
      <w:smartTag w:uri="urn:schemas-microsoft-com:office:smarttags" w:element="PersonName">
        <w:r w:rsidRPr="00427D88">
          <w:rPr>
            <w:rFonts w:ascii="Arial" w:hAnsi="Arial" w:cs="Arial"/>
            <w:color w:val="000000"/>
          </w:rPr>
          <w:t>Canada</w:t>
        </w:r>
      </w:smartTag>
      <w:r>
        <w:rPr>
          <w:rFonts w:ascii="Arial" w:hAnsi="Arial" w:cs="Arial"/>
          <w:color w:val="000000"/>
        </w:rPr>
        <w:t xml:space="preserve"> with the uncompensated taking of their ancestral territory for the benefit of private forestry and development corporations on </w:t>
      </w:r>
      <w:smartTag w:uri="urn:schemas-microsoft-com:office:smarttags" w:element="PersonName">
        <w:r>
          <w:rPr>
            <w:rFonts w:ascii="Arial" w:hAnsi="Arial" w:cs="Arial"/>
            <w:color w:val="000000"/>
          </w:rPr>
          <w:t>Vancouver Island</w:t>
        </w:r>
      </w:smartTag>
      <w:r>
        <w:rPr>
          <w:rFonts w:ascii="Arial" w:hAnsi="Arial" w:cs="Arial"/>
          <w:color w:val="000000"/>
        </w:rPr>
        <w:t>.</w:t>
      </w:r>
      <w:r w:rsidRPr="003B4EA6">
        <w:rPr>
          <w:rFonts w:ascii="Arial" w:hAnsi="Arial" w:cs="Arial"/>
          <w:color w:val="000000"/>
        </w:rPr>
        <w:t xml:space="preserve"> </w:t>
      </w:r>
      <w:r w:rsidRPr="00427D88">
        <w:rPr>
          <w:rFonts w:ascii="Arial" w:hAnsi="Arial" w:cs="Arial"/>
          <w:color w:val="000000"/>
        </w:rPr>
        <w:t>The</w:t>
      </w:r>
      <w:r>
        <w:rPr>
          <w:rFonts w:ascii="Arial" w:hAnsi="Arial" w:cs="Arial"/>
          <w:color w:val="000000"/>
        </w:rPr>
        <w:t xml:space="preserve"> Hul’qumi’num Treaty Group (HTG), comprised of the Cowichan Tribes, Lake Cowichan First Nation, Halalt First Nation, Penelakut Tribe, Lyackson First Nation and the Stz’uminus First Nation, has accused Canada of violating the human rights of its 6,400 members by failing to recognize and protect their rights to property, culture and religion, as recognized under the OAS’ principal human rights instrument, the American Declaration of the Rights and Duties of Man. Canada has been a member of the OAS since 1989.</w:t>
      </w:r>
    </w:p>
    <w:p w:rsidR="00AE5AD1" w:rsidRDefault="00AE5AD1" w:rsidP="007A24D6">
      <w:pPr>
        <w:jc w:val="both"/>
        <w:rPr>
          <w:rFonts w:ascii="Arial" w:hAnsi="Arial" w:cs="Arial"/>
          <w:color w:val="000000"/>
        </w:rPr>
      </w:pPr>
    </w:p>
    <w:p w:rsidR="00AE5AD1" w:rsidRDefault="00AE5AD1" w:rsidP="009B4368">
      <w:pPr>
        <w:ind w:firstLine="720"/>
        <w:jc w:val="both"/>
        <w:rPr>
          <w:rFonts w:ascii="Arial" w:hAnsi="Arial" w:cs="Arial"/>
          <w:color w:val="000000"/>
        </w:rPr>
      </w:pPr>
      <w:r>
        <w:rPr>
          <w:rFonts w:ascii="Arial" w:hAnsi="Arial" w:cs="Arial"/>
          <w:color w:val="000000"/>
        </w:rPr>
        <w:t xml:space="preserve">According to </w:t>
      </w:r>
      <w:smartTag w:uri="urn:schemas-microsoft-com:office:smarttags" w:element="PersonName">
        <w:r>
          <w:rPr>
            <w:rFonts w:ascii="Arial" w:hAnsi="Arial" w:cs="Arial"/>
            <w:color w:val="000000"/>
          </w:rPr>
          <w:t>Robert Morales</w:t>
        </w:r>
      </w:smartTag>
      <w:r>
        <w:rPr>
          <w:rFonts w:ascii="Arial" w:hAnsi="Arial" w:cs="Arial"/>
          <w:color w:val="000000"/>
        </w:rPr>
        <w:t xml:space="preserve">, Chief Negotiator for the HTG, </w:t>
      </w:r>
      <w:smartTag w:uri="urn:schemas-microsoft-com:office:smarttags" w:element="PersonName">
        <w:r>
          <w:rPr>
            <w:rFonts w:ascii="Arial" w:hAnsi="Arial" w:cs="Arial"/>
            <w:color w:val="000000"/>
          </w:rPr>
          <w:t>Canada</w:t>
        </w:r>
      </w:smartTag>
      <w:r>
        <w:rPr>
          <w:rFonts w:ascii="Arial" w:hAnsi="Arial" w:cs="Arial"/>
          <w:color w:val="000000"/>
        </w:rPr>
        <w:t xml:space="preserve">, despite repeated protests, continues to permit widespread clear-cutting, deforestation and environmentally destructive development activities throughout their ancestral territory by three major forestry development companies, TimberWest Forest Corporation, Hancock Timber Resource Group and Island Timberlands. The three corporations are the major successors in interest to Canada’s 1884 grant of over 237,000 hectares of Hul’qumi’num lands containing valuable timber, coal and other resources to the E&amp;N railroad corporation. Today, those companies control nearly 190,000 hectares, roughly 2/3 of the HTG members’ ancestral territory. The HTG has submitted extensive evidence to the human rights body documenting the companies’ clear-cutting operations, which it claims go unregulated by the government, while causing the relentless destruction of the traditional way of life, culture, and religious practices of the HTG communities. </w:t>
      </w:r>
    </w:p>
    <w:p w:rsidR="00AE5AD1" w:rsidRDefault="00AE5AD1" w:rsidP="00FA114F">
      <w:pPr>
        <w:ind w:firstLine="720"/>
        <w:jc w:val="both"/>
        <w:rPr>
          <w:rFonts w:ascii="Arial" w:hAnsi="Arial" w:cs="Arial"/>
          <w:color w:val="000000"/>
        </w:rPr>
      </w:pPr>
    </w:p>
    <w:p w:rsidR="00AE5AD1" w:rsidRDefault="00AE5AD1" w:rsidP="009A7A87">
      <w:pPr>
        <w:ind w:firstLine="720"/>
        <w:jc w:val="both"/>
        <w:rPr>
          <w:rFonts w:ascii="Arial" w:hAnsi="Arial" w:cs="Arial"/>
          <w:color w:val="000000"/>
        </w:rPr>
      </w:pPr>
      <w:r>
        <w:rPr>
          <w:rFonts w:ascii="Arial" w:hAnsi="Arial" w:cs="Arial"/>
          <w:color w:val="000000"/>
        </w:rPr>
        <w:t xml:space="preserve">HTG’s human rights complaint charges that under </w:t>
      </w:r>
      <w:smartTag w:uri="urn:schemas-microsoft-com:office:smarttags" w:element="PersonName">
        <w:r>
          <w:rPr>
            <w:rFonts w:ascii="Arial" w:hAnsi="Arial" w:cs="Arial"/>
            <w:color w:val="000000"/>
          </w:rPr>
          <w:t>Canada</w:t>
        </w:r>
      </w:smartTag>
      <w:r>
        <w:rPr>
          <w:rFonts w:ascii="Arial" w:hAnsi="Arial" w:cs="Arial"/>
          <w:color w:val="000000"/>
        </w:rPr>
        <w:t xml:space="preserve">’s Comprehensive Land Claims Policy, </w:t>
      </w:r>
      <w:r w:rsidRPr="00427D88">
        <w:rPr>
          <w:rFonts w:ascii="Arial" w:hAnsi="Arial" w:cs="Arial"/>
          <w:color w:val="000000"/>
        </w:rPr>
        <w:t>relied upon by the government since 1973 in negotiating treaties with First Nations</w:t>
      </w:r>
      <w:r>
        <w:rPr>
          <w:rFonts w:ascii="Arial" w:hAnsi="Arial" w:cs="Arial"/>
          <w:color w:val="000000"/>
        </w:rPr>
        <w:t xml:space="preserve">, so-called “private lands” owned by the large timber, mineral and real estate development companies are “off the table.” The government refuses to negotiate over the return or replacement of these lands, and, under its land claims policy, will not discuss compensation at the treaty table.  HTG also charges that </w:t>
      </w:r>
      <w:smartTag w:uri="urn:schemas-microsoft-com:office:smarttags" w:element="PersonName">
        <w:r>
          <w:rPr>
            <w:rFonts w:ascii="Arial" w:hAnsi="Arial" w:cs="Arial"/>
            <w:color w:val="000000"/>
          </w:rPr>
          <w:t>Canada</w:t>
        </w:r>
      </w:smartTag>
      <w:r>
        <w:rPr>
          <w:rFonts w:ascii="Arial" w:hAnsi="Arial" w:cs="Arial"/>
          <w:color w:val="000000"/>
        </w:rPr>
        <w:t xml:space="preserve"> refuses to consult with HTG, as required under well-established principles of international human rights law, before allowing the forestry companies to permanently destroy their lands and resources, with no benefits provided to the HTG First Nations. </w:t>
      </w:r>
    </w:p>
    <w:p w:rsidR="00AE5AD1" w:rsidRDefault="00AE5AD1" w:rsidP="009A7A87">
      <w:pPr>
        <w:ind w:firstLine="720"/>
        <w:jc w:val="both"/>
        <w:rPr>
          <w:rFonts w:ascii="Arial" w:hAnsi="Arial" w:cs="Arial"/>
          <w:color w:val="000000"/>
        </w:rPr>
      </w:pPr>
    </w:p>
    <w:p w:rsidR="00AE5AD1" w:rsidRDefault="00AE5AD1" w:rsidP="009C350E">
      <w:pPr>
        <w:ind w:firstLine="720"/>
        <w:jc w:val="both"/>
        <w:rPr>
          <w:rFonts w:ascii="Arial" w:hAnsi="Arial" w:cs="Arial"/>
          <w:color w:val="000000"/>
        </w:rPr>
      </w:pPr>
      <w:r>
        <w:rPr>
          <w:rFonts w:ascii="Arial" w:hAnsi="Arial" w:cs="Arial"/>
          <w:color w:val="000000"/>
        </w:rPr>
        <w:t xml:space="preserve">Prominent international human rights groups, including Amnesty International, Lawyers Rights Watch </w:t>
      </w:r>
      <w:smartTag w:uri="urn:schemas-microsoft-com:office:smarttags" w:element="PersonName">
        <w:r>
          <w:rPr>
            <w:rFonts w:ascii="Arial" w:hAnsi="Arial" w:cs="Arial"/>
            <w:color w:val="000000"/>
          </w:rPr>
          <w:t>Canada</w:t>
        </w:r>
      </w:smartTag>
      <w:r>
        <w:rPr>
          <w:rFonts w:ascii="Arial" w:hAnsi="Arial" w:cs="Arial"/>
          <w:color w:val="000000"/>
        </w:rPr>
        <w:t xml:space="preserve">, and over a dozen Canadian First Nations governments and organizations, including the Assembly of First Nations (AFN), have filed briefs supporting HTG. First Nations leaders and human rights experts predict that a victory in the case for HTG could throw the government’s entire process for negotiating and implementing treaties involving land claims with First Nations across </w:t>
      </w:r>
      <w:smartTag w:uri="urn:schemas-microsoft-com:office:smarttags" w:element="PersonName">
        <w:r>
          <w:rPr>
            <w:rFonts w:ascii="Arial" w:hAnsi="Arial" w:cs="Arial"/>
            <w:color w:val="000000"/>
          </w:rPr>
          <w:t>Canada</w:t>
        </w:r>
      </w:smartTag>
      <w:r>
        <w:rPr>
          <w:rFonts w:ascii="Arial" w:hAnsi="Arial" w:cs="Arial"/>
          <w:color w:val="000000"/>
        </w:rPr>
        <w:t xml:space="preserve"> into serious question. </w:t>
      </w:r>
    </w:p>
    <w:p w:rsidR="00AE5AD1" w:rsidRDefault="00AE5AD1" w:rsidP="009C350E">
      <w:pPr>
        <w:ind w:firstLine="720"/>
        <w:jc w:val="both"/>
        <w:rPr>
          <w:rFonts w:ascii="Arial" w:hAnsi="Arial" w:cs="Arial"/>
          <w:color w:val="000000"/>
        </w:rPr>
      </w:pPr>
    </w:p>
    <w:p w:rsidR="00AE5AD1" w:rsidRDefault="00AE5AD1" w:rsidP="009C350E">
      <w:pPr>
        <w:ind w:firstLine="720"/>
        <w:jc w:val="both"/>
        <w:rPr>
          <w:rFonts w:ascii="Arial" w:hAnsi="Arial" w:cs="Arial"/>
          <w:color w:val="000000"/>
        </w:rPr>
      </w:pPr>
      <w:r w:rsidRPr="00427D88">
        <w:rPr>
          <w:rFonts w:ascii="Arial" w:hAnsi="Arial" w:cs="Arial"/>
          <w:color w:val="000000"/>
        </w:rPr>
        <w:t>Robert A. Williams</w:t>
      </w:r>
      <w:r>
        <w:rPr>
          <w:rFonts w:ascii="Arial" w:hAnsi="Arial" w:cs="Arial"/>
          <w:color w:val="000000"/>
        </w:rPr>
        <w:t>,</w:t>
      </w:r>
      <w:r w:rsidRPr="00427D88">
        <w:rPr>
          <w:rFonts w:ascii="Arial" w:hAnsi="Arial" w:cs="Arial"/>
          <w:color w:val="000000"/>
        </w:rPr>
        <w:t xml:space="preserve"> Jr.</w:t>
      </w:r>
      <w:r>
        <w:rPr>
          <w:rFonts w:ascii="Arial" w:hAnsi="Arial" w:cs="Arial"/>
          <w:color w:val="000000"/>
        </w:rPr>
        <w:t xml:space="preserve">, a law professor and Director of the </w:t>
      </w:r>
      <w:r w:rsidRPr="00427D88">
        <w:rPr>
          <w:rFonts w:ascii="Arial" w:hAnsi="Arial" w:cs="Arial"/>
          <w:color w:val="000000"/>
        </w:rPr>
        <w:t>Indigenous Pe</w:t>
      </w:r>
      <w:r>
        <w:rPr>
          <w:rFonts w:ascii="Arial" w:hAnsi="Arial" w:cs="Arial"/>
          <w:color w:val="000000"/>
        </w:rPr>
        <w:t xml:space="preserve">oples Law and Policy Program </w:t>
      </w:r>
      <w:r w:rsidRPr="00427D88">
        <w:rPr>
          <w:rFonts w:ascii="Arial" w:hAnsi="Arial" w:cs="Arial"/>
          <w:color w:val="000000"/>
        </w:rPr>
        <w:t xml:space="preserve">of the </w:t>
      </w:r>
      <w:smartTag w:uri="urn:schemas-microsoft-com:office:smarttags" w:element="PersonName">
        <w:smartTag w:uri="urn:schemas-microsoft-com:office:smarttags" w:element="PersonName">
          <w:r w:rsidRPr="00427D88">
            <w:rPr>
              <w:rFonts w:ascii="Arial" w:hAnsi="Arial" w:cs="Arial"/>
              <w:color w:val="000000"/>
            </w:rPr>
            <w:t>University</w:t>
          </w:r>
        </w:smartTag>
        <w:r w:rsidRPr="00427D88">
          <w:rPr>
            <w:rFonts w:ascii="Arial" w:hAnsi="Arial" w:cs="Arial"/>
            <w:color w:val="000000"/>
          </w:rPr>
          <w:t xml:space="preserve"> of </w:t>
        </w:r>
        <w:smartTag w:uri="urn:schemas-microsoft-com:office:smarttags" w:element="PersonName">
          <w:r w:rsidRPr="00427D88">
            <w:rPr>
              <w:rFonts w:ascii="Arial" w:hAnsi="Arial" w:cs="Arial"/>
              <w:color w:val="000000"/>
            </w:rPr>
            <w:t>Arizona</w:t>
          </w:r>
        </w:smartTag>
      </w:smartTag>
      <w:r>
        <w:rPr>
          <w:rFonts w:ascii="Arial" w:hAnsi="Arial" w:cs="Arial"/>
          <w:color w:val="000000"/>
        </w:rPr>
        <w:t xml:space="preserve">, is representing HTG as lead counsel in the case. He believes that a favorable decision for HTG in the case “will vindicate the position of First Nations leaders and communities throughout </w:t>
      </w:r>
      <w:smartTag w:uri="urn:schemas-microsoft-com:office:smarttags" w:element="PersonName">
        <w:r>
          <w:rPr>
            <w:rFonts w:ascii="Arial" w:hAnsi="Arial" w:cs="Arial"/>
            <w:color w:val="000000"/>
          </w:rPr>
          <w:t>Canada</w:t>
        </w:r>
      </w:smartTag>
      <w:r>
        <w:rPr>
          <w:rFonts w:ascii="Arial" w:hAnsi="Arial" w:cs="Arial"/>
          <w:color w:val="000000"/>
        </w:rPr>
        <w:t xml:space="preserve"> that the Comprehensive Land Claims Policy needs to be scrapped in favor of a process that complies with international human rights standards for the recognition and protection of First Nations’ peoples in their ancestral lands.” </w:t>
      </w:r>
    </w:p>
    <w:p w:rsidR="00AE5AD1" w:rsidRDefault="00AE5AD1" w:rsidP="00385B2C">
      <w:pPr>
        <w:ind w:firstLine="720"/>
        <w:jc w:val="both"/>
        <w:rPr>
          <w:rFonts w:ascii="Arial" w:hAnsi="Arial" w:cs="Arial"/>
          <w:color w:val="000000"/>
        </w:rPr>
      </w:pPr>
    </w:p>
    <w:p w:rsidR="00AE5AD1" w:rsidRDefault="00AE5AD1" w:rsidP="00D62569">
      <w:pPr>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Williams also notes that the Commission has already established an important international law precedent on the inadequacies of </w:t>
      </w:r>
      <w:smartTag w:uri="urn:schemas-microsoft-com:office:smarttags" w:element="PersonName">
        <w:r>
          <w:rPr>
            <w:rFonts w:ascii="Arial" w:hAnsi="Arial" w:cs="Arial"/>
            <w:color w:val="000000"/>
          </w:rPr>
          <w:t>Canada</w:t>
        </w:r>
      </w:smartTag>
      <w:r>
        <w:rPr>
          <w:rFonts w:ascii="Arial" w:hAnsi="Arial" w:cs="Arial"/>
          <w:color w:val="000000"/>
        </w:rPr>
        <w:t>’s land claims process in ruling H</w:t>
      </w:r>
      <w:r>
        <w:rPr>
          <w:rFonts w:ascii="Arial" w:hAnsi="Arial" w:cs="Arial"/>
        </w:rPr>
        <w:t xml:space="preserve">ag’s case admissible, over </w:t>
      </w:r>
      <w:smartTag w:uri="urn:schemas-microsoft-com:office:smarttags" w:element="PersonName">
        <w:r>
          <w:rPr>
            <w:rFonts w:ascii="Arial" w:hAnsi="Arial" w:cs="Arial"/>
          </w:rPr>
          <w:t>Canada</w:t>
        </w:r>
      </w:smartTag>
      <w:r>
        <w:rPr>
          <w:rFonts w:ascii="Arial" w:hAnsi="Arial" w:cs="Arial"/>
        </w:rPr>
        <w:t>’s strenuous objections,</w:t>
      </w:r>
      <w:r w:rsidRPr="00291523">
        <w:rPr>
          <w:rFonts w:ascii="Arial" w:hAnsi="Arial" w:cs="Arial"/>
        </w:rPr>
        <w:t xml:space="preserve"> </w:t>
      </w:r>
      <w:r>
        <w:rPr>
          <w:rFonts w:ascii="Arial" w:hAnsi="Arial" w:cs="Arial"/>
        </w:rPr>
        <w:t xml:space="preserve">in 2009. The Commission found that the British Columbia Treaty Commission process, established in 1989 by the government under the Comprehensive Land Claims Policy, had failed to provide an effective or timely remedy to protect the Hul’qumi’num peoples’ rights in their ancestral lands. The HTG has been involved in treaty negotiations with </w:t>
      </w:r>
      <w:smartTag w:uri="urn:schemas-microsoft-com:office:smarttags" w:element="PersonName">
        <w:r>
          <w:rPr>
            <w:rFonts w:ascii="Arial" w:hAnsi="Arial" w:cs="Arial"/>
          </w:rPr>
          <w:t>Canada</w:t>
        </w:r>
      </w:smartTag>
      <w:r>
        <w:rPr>
          <w:rFonts w:ascii="Arial" w:hAnsi="Arial" w:cs="Arial"/>
        </w:rPr>
        <w:t xml:space="preserve"> and the province for more than 15 years, and owes over 20 million dollars to the government for the costs of those stalled negotiations. </w:t>
      </w:r>
    </w:p>
    <w:p w:rsidR="00AE5AD1" w:rsidRDefault="00AE5AD1" w:rsidP="00D62569">
      <w:pPr>
        <w:jc w:val="both"/>
        <w:rPr>
          <w:rFonts w:ascii="Arial" w:hAnsi="Arial" w:cs="Arial"/>
          <w:color w:val="000000"/>
        </w:rPr>
      </w:pPr>
    </w:p>
    <w:p w:rsidR="00AE5AD1" w:rsidRDefault="00AE5AD1" w:rsidP="001E1CB4">
      <w:pPr>
        <w:ind w:firstLine="720"/>
        <w:jc w:val="both"/>
        <w:rPr>
          <w:rFonts w:ascii="Arial" w:hAnsi="Arial" w:cs="Arial"/>
          <w:color w:val="000000"/>
        </w:rPr>
      </w:pPr>
      <w:r w:rsidRPr="00427D88">
        <w:rPr>
          <w:rFonts w:ascii="Arial" w:hAnsi="Arial" w:cs="Arial"/>
          <w:color w:val="000000"/>
        </w:rPr>
        <w:t>The case of Hul'qumi’num Treaty Group v. Canada attracted international attenti</w:t>
      </w:r>
      <w:r>
        <w:rPr>
          <w:rFonts w:ascii="Arial" w:hAnsi="Arial" w:cs="Arial"/>
          <w:color w:val="000000"/>
        </w:rPr>
        <w:t>on in May of this past year</w:t>
      </w:r>
      <w:r w:rsidRPr="00427D88">
        <w:rPr>
          <w:rFonts w:ascii="Arial" w:hAnsi="Arial" w:cs="Arial"/>
          <w:color w:val="000000"/>
        </w:rPr>
        <w:t xml:space="preserve"> when </w:t>
      </w:r>
      <w:r>
        <w:rPr>
          <w:rFonts w:ascii="Arial" w:hAnsi="Arial" w:cs="Arial"/>
          <w:color w:val="000000"/>
        </w:rPr>
        <w:t xml:space="preserve">HTG </w:t>
      </w:r>
      <w:r w:rsidRPr="00427D88">
        <w:rPr>
          <w:rFonts w:ascii="Arial" w:hAnsi="Arial" w:cs="Arial"/>
          <w:color w:val="000000"/>
        </w:rPr>
        <w:t xml:space="preserve">asked </w:t>
      </w:r>
      <w:r>
        <w:rPr>
          <w:rFonts w:ascii="Arial" w:hAnsi="Arial" w:cs="Arial"/>
          <w:color w:val="000000"/>
        </w:rPr>
        <w:t>the Commission to issue</w:t>
      </w:r>
      <w:r w:rsidRPr="00427D88">
        <w:rPr>
          <w:rFonts w:ascii="Arial" w:hAnsi="Arial" w:cs="Arial"/>
          <w:color w:val="000000"/>
        </w:rPr>
        <w:t xml:space="preserve"> "precautionary measures" – a form of international human rights injunction – requiring that </w:t>
      </w:r>
      <w:r>
        <w:rPr>
          <w:rFonts w:ascii="Arial" w:hAnsi="Arial" w:cs="Arial"/>
          <w:color w:val="000000"/>
        </w:rPr>
        <w:t xml:space="preserve">Canada consult with the group </w:t>
      </w:r>
      <w:r w:rsidRPr="00427D88">
        <w:rPr>
          <w:rFonts w:ascii="Arial" w:hAnsi="Arial" w:cs="Arial"/>
          <w:color w:val="000000"/>
        </w:rPr>
        <w:t xml:space="preserve">prior to </w:t>
      </w:r>
      <w:r>
        <w:rPr>
          <w:rFonts w:ascii="Arial" w:hAnsi="Arial" w:cs="Arial"/>
          <w:color w:val="000000"/>
        </w:rPr>
        <w:t xml:space="preserve">permitting </w:t>
      </w:r>
      <w:r w:rsidRPr="00427D88">
        <w:rPr>
          <w:rFonts w:ascii="Arial" w:hAnsi="Arial" w:cs="Arial"/>
          <w:color w:val="000000"/>
        </w:rPr>
        <w:t>a billion dollar sale of Timber</w:t>
      </w:r>
      <w:r>
        <w:rPr>
          <w:rFonts w:ascii="Arial" w:hAnsi="Arial" w:cs="Arial"/>
          <w:color w:val="000000"/>
        </w:rPr>
        <w:t>W</w:t>
      </w:r>
      <w:r w:rsidRPr="00427D88">
        <w:rPr>
          <w:rFonts w:ascii="Arial" w:hAnsi="Arial" w:cs="Arial"/>
          <w:color w:val="000000"/>
        </w:rPr>
        <w:t xml:space="preserve">est Forest Corp. to </w:t>
      </w:r>
      <w:r>
        <w:rPr>
          <w:rFonts w:ascii="Arial" w:hAnsi="Arial" w:cs="Arial"/>
          <w:color w:val="000000"/>
        </w:rPr>
        <w:t>two government</w:t>
      </w:r>
      <w:r w:rsidRPr="00427D88">
        <w:rPr>
          <w:rFonts w:ascii="Arial" w:hAnsi="Arial" w:cs="Arial"/>
          <w:color w:val="000000"/>
        </w:rPr>
        <w:t>-</w:t>
      </w:r>
      <w:r>
        <w:rPr>
          <w:rFonts w:ascii="Arial" w:hAnsi="Arial" w:cs="Arial"/>
          <w:color w:val="000000"/>
        </w:rPr>
        <w:t>sponsored</w:t>
      </w:r>
      <w:r w:rsidRPr="00427D88">
        <w:rPr>
          <w:rFonts w:ascii="Arial" w:hAnsi="Arial" w:cs="Arial"/>
          <w:color w:val="000000"/>
        </w:rPr>
        <w:t xml:space="preserve"> public pension funds</w:t>
      </w:r>
      <w:r>
        <w:rPr>
          <w:rFonts w:ascii="Arial" w:hAnsi="Arial" w:cs="Arial"/>
          <w:color w:val="000000"/>
        </w:rPr>
        <w:t>, the British Columbia Investment Management Corporation and the Public Sector Pension Investment Board</w:t>
      </w:r>
      <w:r w:rsidRPr="00427D88">
        <w:rPr>
          <w:rFonts w:ascii="Arial" w:hAnsi="Arial" w:cs="Arial"/>
          <w:color w:val="000000"/>
        </w:rPr>
        <w:t xml:space="preserve">. The sale involved </w:t>
      </w:r>
      <w:r>
        <w:rPr>
          <w:rFonts w:ascii="Arial" w:hAnsi="Arial" w:cs="Arial"/>
          <w:color w:val="000000"/>
        </w:rPr>
        <w:t xml:space="preserve">the </w:t>
      </w:r>
      <w:r w:rsidRPr="00427D88">
        <w:rPr>
          <w:rFonts w:ascii="Arial" w:hAnsi="Arial" w:cs="Arial"/>
          <w:color w:val="000000"/>
        </w:rPr>
        <w:t xml:space="preserve">114,000 hectares of Hul’qumi’num ancestral lands </w:t>
      </w:r>
      <w:r>
        <w:rPr>
          <w:rFonts w:ascii="Arial" w:hAnsi="Arial" w:cs="Arial"/>
          <w:color w:val="000000"/>
        </w:rPr>
        <w:t xml:space="preserve">controlled by TimberWest. </w:t>
      </w:r>
      <w:r w:rsidRPr="00427D88">
        <w:rPr>
          <w:rFonts w:ascii="Arial" w:hAnsi="Arial" w:cs="Arial"/>
          <w:color w:val="000000"/>
        </w:rPr>
        <w:t xml:space="preserve"> After </w:t>
      </w:r>
      <w:r>
        <w:rPr>
          <w:rFonts w:ascii="Arial" w:hAnsi="Arial" w:cs="Arial"/>
          <w:color w:val="000000"/>
        </w:rPr>
        <w:t>news of HTG’s request</w:t>
      </w:r>
      <w:r w:rsidRPr="00427D88">
        <w:rPr>
          <w:rFonts w:ascii="Arial" w:hAnsi="Arial" w:cs="Arial"/>
          <w:color w:val="000000"/>
        </w:rPr>
        <w:t xml:space="preserve"> for precautionary measures</w:t>
      </w:r>
      <w:r>
        <w:rPr>
          <w:rFonts w:ascii="Arial" w:hAnsi="Arial" w:cs="Arial"/>
          <w:color w:val="000000"/>
        </w:rPr>
        <w:t xml:space="preserve"> was reported widely in the financial press and national news and media outlets, T</w:t>
      </w:r>
      <w:r w:rsidRPr="00427D88">
        <w:rPr>
          <w:rFonts w:ascii="Arial" w:hAnsi="Arial" w:cs="Arial"/>
          <w:color w:val="000000"/>
        </w:rPr>
        <w:t>imberWest</w:t>
      </w:r>
      <w:r>
        <w:rPr>
          <w:rFonts w:ascii="Arial" w:hAnsi="Arial" w:cs="Arial"/>
          <w:color w:val="000000"/>
        </w:rPr>
        <w:t>’s</w:t>
      </w:r>
      <w:r w:rsidRPr="00427D88">
        <w:rPr>
          <w:rFonts w:ascii="Arial" w:hAnsi="Arial" w:cs="Arial"/>
          <w:color w:val="000000"/>
        </w:rPr>
        <w:t xml:space="preserve"> stock</w:t>
      </w:r>
      <w:r>
        <w:rPr>
          <w:rFonts w:ascii="Arial" w:hAnsi="Arial" w:cs="Arial"/>
          <w:color w:val="000000"/>
        </w:rPr>
        <w:t xml:space="preserve"> value </w:t>
      </w:r>
      <w:r w:rsidRPr="00427D88">
        <w:rPr>
          <w:rFonts w:ascii="Arial" w:hAnsi="Arial" w:cs="Arial"/>
          <w:color w:val="000000"/>
        </w:rPr>
        <w:t xml:space="preserve">dropped </w:t>
      </w:r>
      <w:r>
        <w:rPr>
          <w:rFonts w:ascii="Arial" w:hAnsi="Arial" w:cs="Arial"/>
          <w:color w:val="000000"/>
        </w:rPr>
        <w:t xml:space="preserve">sharply on the </w:t>
      </w:r>
      <w:smartTag w:uri="urn:schemas-microsoft-com:office:smarttags" w:element="PersonName">
        <w:r>
          <w:rPr>
            <w:rFonts w:ascii="Arial" w:hAnsi="Arial" w:cs="Arial"/>
            <w:color w:val="000000"/>
          </w:rPr>
          <w:t>Toronto</w:t>
        </w:r>
      </w:smartTag>
      <w:r>
        <w:rPr>
          <w:rFonts w:ascii="Arial" w:hAnsi="Arial" w:cs="Arial"/>
          <w:color w:val="000000"/>
        </w:rPr>
        <w:t xml:space="preserve"> stock exchange the next day. No other potential buyers for the company came forward during the 60 day “go-shop” period for soliciting higher offers after news of HTG’s action in the case was announced.</w:t>
      </w:r>
    </w:p>
    <w:p w:rsidR="00AE5AD1" w:rsidRPr="00427D88" w:rsidRDefault="00AE5AD1" w:rsidP="001E1CB4">
      <w:pPr>
        <w:ind w:firstLine="720"/>
        <w:jc w:val="both"/>
        <w:rPr>
          <w:rFonts w:ascii="Arial" w:hAnsi="Arial" w:cs="Arial"/>
          <w:color w:val="000000"/>
        </w:rPr>
      </w:pPr>
    </w:p>
    <w:p w:rsidR="00AE5AD1" w:rsidRDefault="00AE5AD1" w:rsidP="00851337">
      <w:pPr>
        <w:ind w:firstLine="720"/>
        <w:jc w:val="both"/>
        <w:rPr>
          <w:rFonts w:ascii="Arial" w:hAnsi="Arial" w:cs="Arial"/>
          <w:color w:val="000000"/>
        </w:rPr>
      </w:pPr>
      <w:r>
        <w:rPr>
          <w:rFonts w:ascii="Arial" w:hAnsi="Arial" w:cs="Arial"/>
          <w:color w:val="000000"/>
        </w:rPr>
        <w:t xml:space="preserve">The government’s land claims policy and treaty negotiating process have been widely criticized by United Nations human rights fact-finding bodies and legal experts as violating Canada’s international legal obligations to recognize and protect the traditional lands of First Nations. The case brought by </w:t>
      </w:r>
      <w:r w:rsidRPr="00362929">
        <w:rPr>
          <w:rFonts w:ascii="Arial" w:hAnsi="Arial" w:cs="Arial"/>
          <w:color w:val="000000"/>
        </w:rPr>
        <w:t>HTG</w:t>
      </w:r>
      <w:r>
        <w:rPr>
          <w:rFonts w:ascii="Arial" w:hAnsi="Arial" w:cs="Arial"/>
          <w:color w:val="000000"/>
        </w:rPr>
        <w:t xml:space="preserve"> will be the first time that the Inter-American Commission on Human Rights has held a hearing on the merits of a human rights complaint challenging </w:t>
      </w:r>
      <w:smartTag w:uri="urn:schemas-microsoft-com:office:smarttags" w:element="PersonName">
        <w:r>
          <w:rPr>
            <w:rFonts w:ascii="Arial" w:hAnsi="Arial" w:cs="Arial"/>
            <w:color w:val="000000"/>
          </w:rPr>
          <w:t>Canada</w:t>
        </w:r>
      </w:smartTag>
      <w:r>
        <w:rPr>
          <w:rFonts w:ascii="Arial" w:hAnsi="Arial" w:cs="Arial"/>
          <w:color w:val="000000"/>
        </w:rPr>
        <w:t>’s approach to the recognition of indigenous peoples’ land rights</w:t>
      </w:r>
    </w:p>
    <w:p w:rsidR="00AE5AD1" w:rsidRDefault="00AE5AD1" w:rsidP="00851337">
      <w:pPr>
        <w:ind w:firstLine="720"/>
        <w:jc w:val="both"/>
        <w:rPr>
          <w:rFonts w:ascii="Arial" w:hAnsi="Arial" w:cs="Arial"/>
          <w:color w:val="000000"/>
        </w:rPr>
      </w:pPr>
    </w:p>
    <w:p w:rsidR="00AE5AD1" w:rsidRPr="00427D88" w:rsidRDefault="00AE5AD1" w:rsidP="00851337">
      <w:pPr>
        <w:ind w:firstLine="720"/>
        <w:jc w:val="both"/>
        <w:rPr>
          <w:rFonts w:ascii="Arial" w:hAnsi="Arial" w:cs="Arial"/>
          <w:color w:val="000000"/>
        </w:rPr>
      </w:pPr>
      <w:r>
        <w:rPr>
          <w:rFonts w:ascii="Arial" w:hAnsi="Arial" w:cs="Arial"/>
          <w:color w:val="000000"/>
        </w:rPr>
        <w:t xml:space="preserve">The hearing will be held at the Commission’s headquarters in </w:t>
      </w:r>
      <w:smartTag w:uri="urn:schemas-microsoft-com:office:smarttags" w:element="PersonName">
        <w:smartTag w:uri="urn:schemas-microsoft-com:office:smarttags" w:element="PersonName">
          <w:r>
            <w:rPr>
              <w:rFonts w:ascii="Arial" w:hAnsi="Arial" w:cs="Arial"/>
              <w:color w:val="000000"/>
            </w:rPr>
            <w:t>Washington</w:t>
          </w:r>
        </w:smartTag>
        <w:r>
          <w:rPr>
            <w:rFonts w:ascii="Arial" w:hAnsi="Arial" w:cs="Arial"/>
            <w:color w:val="000000"/>
          </w:rPr>
          <w:t xml:space="preserve"> </w:t>
        </w:r>
        <w:smartTag w:uri="urn:schemas-microsoft-com:office:smarttags" w:element="PersonName">
          <w:r>
            <w:rPr>
              <w:rFonts w:ascii="Arial" w:hAnsi="Arial" w:cs="Arial"/>
              <w:color w:val="000000"/>
            </w:rPr>
            <w:t>D.C.</w:t>
          </w:r>
        </w:smartTag>
      </w:smartTag>
      <w:r>
        <w:rPr>
          <w:rFonts w:ascii="Arial" w:hAnsi="Arial" w:cs="Arial"/>
          <w:color w:val="000000"/>
        </w:rPr>
        <w:t xml:space="preserve"> on October 28, 2011, from 9-10 am. Journalists</w:t>
      </w:r>
      <w:r w:rsidRPr="00427D88">
        <w:rPr>
          <w:rFonts w:ascii="Arial" w:hAnsi="Arial" w:cs="Arial"/>
          <w:color w:val="000000"/>
        </w:rPr>
        <w:t xml:space="preserve"> are welcome </w:t>
      </w:r>
      <w:r>
        <w:rPr>
          <w:rFonts w:ascii="Arial" w:hAnsi="Arial" w:cs="Arial"/>
          <w:color w:val="000000"/>
        </w:rPr>
        <w:t>to attend and</w:t>
      </w:r>
      <w:r w:rsidRPr="00427D88">
        <w:rPr>
          <w:rFonts w:ascii="Arial" w:hAnsi="Arial" w:cs="Arial"/>
          <w:color w:val="000000"/>
        </w:rPr>
        <w:t xml:space="preserve"> do</w:t>
      </w:r>
      <w:r>
        <w:rPr>
          <w:rFonts w:ascii="Arial" w:hAnsi="Arial" w:cs="Arial"/>
          <w:color w:val="000000"/>
        </w:rPr>
        <w:t xml:space="preserve"> not require credentials to cover this public hearing. </w:t>
      </w:r>
      <w:r w:rsidRPr="00427D88">
        <w:rPr>
          <w:rFonts w:ascii="Arial" w:hAnsi="Arial" w:cs="Arial"/>
          <w:color w:val="000000"/>
        </w:rPr>
        <w:t>Audio</w:t>
      </w:r>
      <w:r>
        <w:rPr>
          <w:rFonts w:ascii="Arial" w:hAnsi="Arial" w:cs="Arial"/>
          <w:color w:val="000000"/>
        </w:rPr>
        <w:t xml:space="preserve"> </w:t>
      </w:r>
      <w:r w:rsidRPr="00427D88">
        <w:rPr>
          <w:rFonts w:ascii="Arial" w:hAnsi="Arial" w:cs="Arial"/>
          <w:color w:val="000000"/>
        </w:rPr>
        <w:t>recording is a</w:t>
      </w:r>
      <w:r>
        <w:rPr>
          <w:rFonts w:ascii="Arial" w:hAnsi="Arial" w:cs="Arial"/>
          <w:color w:val="000000"/>
        </w:rPr>
        <w:t>llowed but a permit is needed</w:t>
      </w:r>
      <w:r w:rsidRPr="00427D88">
        <w:rPr>
          <w:rFonts w:ascii="Arial" w:hAnsi="Arial" w:cs="Arial"/>
          <w:color w:val="000000"/>
        </w:rPr>
        <w:t xml:space="preserve"> for videotaping. </w:t>
      </w:r>
      <w:r>
        <w:rPr>
          <w:rFonts w:ascii="Arial" w:hAnsi="Arial" w:cs="Arial"/>
          <w:color w:val="000000"/>
        </w:rPr>
        <w:t>Media</w:t>
      </w:r>
      <w:r w:rsidRPr="00427D88">
        <w:rPr>
          <w:rFonts w:ascii="Arial" w:hAnsi="Arial" w:cs="Arial"/>
          <w:color w:val="000000"/>
        </w:rPr>
        <w:t xml:space="preserve"> </w:t>
      </w:r>
      <w:r>
        <w:rPr>
          <w:rFonts w:ascii="Arial" w:hAnsi="Arial" w:cs="Arial"/>
          <w:color w:val="000000"/>
        </w:rPr>
        <w:t>questions can be addressed to the</w:t>
      </w:r>
      <w:r w:rsidRPr="00427D88">
        <w:rPr>
          <w:rFonts w:ascii="Arial" w:hAnsi="Arial" w:cs="Arial"/>
          <w:color w:val="000000"/>
        </w:rPr>
        <w:t xml:space="preserve"> Commission's </w:t>
      </w:r>
      <w:r w:rsidRPr="00427D88">
        <w:rPr>
          <w:rFonts w:ascii="Arial" w:hAnsi="Arial" w:cs="Arial"/>
        </w:rPr>
        <w:t>Press Director, Maria Isabel Rivero</w:t>
      </w:r>
      <w:r>
        <w:rPr>
          <w:rFonts w:ascii="Arial" w:hAnsi="Arial" w:cs="Arial"/>
          <w:color w:val="000000"/>
        </w:rPr>
        <w:t xml:space="preserve">: </w:t>
      </w:r>
      <w:r w:rsidRPr="00427D88">
        <w:rPr>
          <w:rFonts w:ascii="Arial" w:hAnsi="Arial" w:cs="Arial"/>
        </w:rPr>
        <w:t xml:space="preserve">(202) 458-3867 </w:t>
      </w:r>
      <w:hyperlink r:id="rId4" w:history="1">
        <w:r w:rsidRPr="00427D88">
          <w:rPr>
            <w:rStyle w:val="Hyperlink"/>
            <w:rFonts w:ascii="Arial" w:hAnsi="Arial" w:cs="Arial"/>
          </w:rPr>
          <w:t>mrivero@oas.org</w:t>
        </w:r>
      </w:hyperlink>
    </w:p>
    <w:p w:rsidR="00AE5AD1" w:rsidRPr="00427D88" w:rsidRDefault="00AE5AD1" w:rsidP="00D62569">
      <w:pPr>
        <w:jc w:val="both"/>
        <w:rPr>
          <w:rFonts w:ascii="Arial" w:hAnsi="Arial" w:cs="Arial"/>
        </w:rPr>
      </w:pPr>
    </w:p>
    <w:p w:rsidR="00AE5AD1" w:rsidRDefault="00AE5AD1" w:rsidP="00D62569">
      <w:pPr>
        <w:jc w:val="both"/>
        <w:rPr>
          <w:rFonts w:ascii="Arial" w:hAnsi="Arial" w:cs="Arial"/>
        </w:rPr>
      </w:pPr>
      <w:r w:rsidRPr="00427D88">
        <w:rPr>
          <w:rFonts w:ascii="Arial" w:hAnsi="Arial" w:cs="Arial"/>
          <w:b/>
        </w:rPr>
        <w:t>Contact:</w:t>
      </w:r>
      <w:r w:rsidRPr="00427D88">
        <w:rPr>
          <w:rFonts w:ascii="Arial" w:hAnsi="Arial" w:cs="Arial"/>
        </w:rPr>
        <w:t xml:space="preserve">  </w:t>
      </w:r>
    </w:p>
    <w:p w:rsidR="00AE5AD1" w:rsidRDefault="00AE5AD1" w:rsidP="00D62569">
      <w:pPr>
        <w:jc w:val="both"/>
        <w:rPr>
          <w:rFonts w:ascii="Arial" w:hAnsi="Arial" w:cs="Arial"/>
        </w:rPr>
      </w:pPr>
      <w:r>
        <w:rPr>
          <w:rFonts w:ascii="Arial" w:hAnsi="Arial" w:cs="Arial"/>
        </w:rPr>
        <w:t xml:space="preserve">Robert A. Williams, Jr. E. Thomas Sullivan Professor of Law and Director, Indigenous Peoples Law and Policy </w:t>
      </w:r>
      <w:bookmarkStart w:id="0" w:name="_GoBack"/>
      <w:bookmarkEnd w:id="0"/>
      <w:r>
        <w:rPr>
          <w:rFonts w:ascii="Arial" w:hAnsi="Arial" w:cs="Arial"/>
        </w:rPr>
        <w:t>Program, The University of Arizona Rogers College of Law, 520-621-5622; williams@law.arizona.edu.</w:t>
      </w:r>
    </w:p>
    <w:p w:rsidR="00AE5AD1" w:rsidRDefault="00AE5AD1" w:rsidP="00D62569">
      <w:pPr>
        <w:jc w:val="both"/>
        <w:rPr>
          <w:rFonts w:ascii="Arial" w:hAnsi="Arial" w:cs="Arial"/>
        </w:rPr>
      </w:pPr>
    </w:p>
    <w:p w:rsidR="00AE5AD1" w:rsidRDefault="00AE5AD1" w:rsidP="00D62569">
      <w:pPr>
        <w:jc w:val="both"/>
        <w:rPr>
          <w:rFonts w:ascii="Arial" w:hAnsi="Arial" w:cs="Arial"/>
        </w:rPr>
      </w:pPr>
      <w:smartTag w:uri="urn:schemas-microsoft-com:office:smarttags" w:element="PersonName">
        <w:r w:rsidRPr="00427D88">
          <w:rPr>
            <w:rFonts w:ascii="Arial" w:hAnsi="Arial" w:cs="Arial"/>
          </w:rPr>
          <w:t>Robert Morales</w:t>
        </w:r>
      </w:smartTag>
      <w:r w:rsidRPr="00427D88">
        <w:rPr>
          <w:rFonts w:ascii="Arial" w:hAnsi="Arial" w:cs="Arial"/>
        </w:rPr>
        <w:t xml:space="preserve">, </w:t>
      </w:r>
      <w:r>
        <w:rPr>
          <w:rFonts w:ascii="Arial" w:hAnsi="Arial" w:cs="Arial"/>
        </w:rPr>
        <w:t xml:space="preserve">Chief Negotiator, </w:t>
      </w:r>
      <w:r w:rsidRPr="00427D88">
        <w:rPr>
          <w:rFonts w:ascii="Arial" w:hAnsi="Arial" w:cs="Arial"/>
        </w:rPr>
        <w:t>Hul’qumi’num Treaty Group 250-</w:t>
      </w:r>
      <w:r>
        <w:rPr>
          <w:rFonts w:ascii="Arial" w:hAnsi="Arial" w:cs="Arial"/>
        </w:rPr>
        <w:t xml:space="preserve">710-2241 (cell); </w:t>
      </w:r>
    </w:p>
    <w:p w:rsidR="00AE5AD1" w:rsidRPr="00427D88" w:rsidRDefault="00AE5AD1" w:rsidP="00D62569">
      <w:pPr>
        <w:jc w:val="both"/>
        <w:rPr>
          <w:rFonts w:ascii="Arial" w:hAnsi="Arial" w:cs="Arial"/>
        </w:rPr>
      </w:pPr>
      <w:r>
        <w:rPr>
          <w:rFonts w:ascii="Arial" w:hAnsi="Arial" w:cs="Arial"/>
        </w:rPr>
        <w:t>htg-rmorales@shaw.ca</w:t>
      </w:r>
    </w:p>
    <w:p w:rsidR="00AE5AD1" w:rsidRPr="00427D88" w:rsidRDefault="00AE5AD1" w:rsidP="00D62569">
      <w:pPr>
        <w:jc w:val="both"/>
        <w:rPr>
          <w:rFonts w:ascii="Arial" w:hAnsi="Arial" w:cs="Arial"/>
        </w:rPr>
      </w:pPr>
    </w:p>
    <w:p w:rsidR="00AE5AD1" w:rsidRPr="00427D88" w:rsidRDefault="00AE5AD1" w:rsidP="00D62569">
      <w:pPr>
        <w:jc w:val="both"/>
        <w:rPr>
          <w:rFonts w:ascii="Arial" w:hAnsi="Arial" w:cs="Arial"/>
          <w:b/>
        </w:rPr>
      </w:pPr>
      <w:r w:rsidRPr="00427D88">
        <w:rPr>
          <w:rFonts w:ascii="Arial" w:hAnsi="Arial" w:cs="Arial"/>
          <w:b/>
        </w:rPr>
        <w:t>For more information:</w:t>
      </w:r>
    </w:p>
    <w:p w:rsidR="00AE5AD1" w:rsidRPr="00427D88" w:rsidRDefault="00AE5AD1" w:rsidP="00D62569">
      <w:pPr>
        <w:jc w:val="both"/>
        <w:rPr>
          <w:rFonts w:ascii="Arial" w:hAnsi="Arial" w:cs="Arial"/>
        </w:rPr>
      </w:pPr>
      <w:hyperlink r:id="rId5" w:history="1">
        <w:r w:rsidRPr="00427D88">
          <w:rPr>
            <w:rStyle w:val="Hyperlink"/>
            <w:rFonts w:ascii="Arial" w:hAnsi="Arial" w:cs="Arial"/>
          </w:rPr>
          <w:t>http://www.cidh.oas.org/prensa.eng.htm</w:t>
        </w:r>
      </w:hyperlink>
    </w:p>
    <w:p w:rsidR="00AE5AD1" w:rsidRPr="00427D88" w:rsidRDefault="00AE5AD1" w:rsidP="00D62569">
      <w:pPr>
        <w:jc w:val="both"/>
        <w:rPr>
          <w:rFonts w:ascii="Arial" w:hAnsi="Arial" w:cs="Arial"/>
        </w:rPr>
      </w:pPr>
      <w:hyperlink r:id="rId6" w:history="1">
        <w:r w:rsidRPr="00427D88">
          <w:rPr>
            <w:rStyle w:val="Hyperlink"/>
            <w:rFonts w:ascii="Arial" w:hAnsi="Arial" w:cs="Arial"/>
          </w:rPr>
          <w:t>http://www.hulquminum.bc.ca/news</w:t>
        </w:r>
      </w:hyperlink>
    </w:p>
    <w:p w:rsidR="00AE5AD1" w:rsidRPr="00427D88" w:rsidRDefault="00AE5AD1" w:rsidP="00D62569">
      <w:pPr>
        <w:jc w:val="both"/>
        <w:rPr>
          <w:rFonts w:ascii="Arial" w:hAnsi="Arial" w:cs="Arial"/>
        </w:rPr>
      </w:pPr>
      <w:hyperlink r:id="rId7" w:history="1">
        <w:r w:rsidRPr="00427D88">
          <w:rPr>
            <w:rStyle w:val="Hyperlink"/>
            <w:rFonts w:ascii="Arial" w:hAnsi="Arial" w:cs="Arial"/>
          </w:rPr>
          <w:t>http://www.law.arizona.edu/depts/iplp/international/Hulquminum.cfm</w:t>
        </w:r>
      </w:hyperlink>
    </w:p>
    <w:p w:rsidR="00AE5AD1" w:rsidRDefault="00AE5AD1" w:rsidP="00D62569">
      <w:pPr>
        <w:jc w:val="both"/>
      </w:pPr>
    </w:p>
    <w:p w:rsidR="00AE5AD1" w:rsidRPr="00427D88" w:rsidRDefault="00AE5AD1" w:rsidP="007235E5">
      <w:pPr>
        <w:jc w:val="center"/>
      </w:pPr>
      <w:r>
        <w:t>-30-</w:t>
      </w:r>
    </w:p>
    <w:sectPr w:rsidR="00AE5AD1" w:rsidRPr="00427D88" w:rsidSect="00BC7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D88"/>
    <w:rsid w:val="00012F21"/>
    <w:rsid w:val="000C0D3B"/>
    <w:rsid w:val="000D29B9"/>
    <w:rsid w:val="00107977"/>
    <w:rsid w:val="00131B10"/>
    <w:rsid w:val="00144D12"/>
    <w:rsid w:val="001E1CB4"/>
    <w:rsid w:val="001E7462"/>
    <w:rsid w:val="001F3146"/>
    <w:rsid w:val="002005D9"/>
    <w:rsid w:val="00217A70"/>
    <w:rsid w:val="002240BA"/>
    <w:rsid w:val="00291523"/>
    <w:rsid w:val="002B164E"/>
    <w:rsid w:val="002F3727"/>
    <w:rsid w:val="00316A45"/>
    <w:rsid w:val="003411C8"/>
    <w:rsid w:val="0034752B"/>
    <w:rsid w:val="00362929"/>
    <w:rsid w:val="00385B2C"/>
    <w:rsid w:val="003B4EA6"/>
    <w:rsid w:val="003E235D"/>
    <w:rsid w:val="00423DAE"/>
    <w:rsid w:val="00427D88"/>
    <w:rsid w:val="0044764E"/>
    <w:rsid w:val="00455441"/>
    <w:rsid w:val="004A12B9"/>
    <w:rsid w:val="00591CA0"/>
    <w:rsid w:val="005966D7"/>
    <w:rsid w:val="005F183E"/>
    <w:rsid w:val="00616A2E"/>
    <w:rsid w:val="006278BE"/>
    <w:rsid w:val="006647DB"/>
    <w:rsid w:val="006C4C1B"/>
    <w:rsid w:val="006D00DF"/>
    <w:rsid w:val="006D57E6"/>
    <w:rsid w:val="007235E5"/>
    <w:rsid w:val="0072439E"/>
    <w:rsid w:val="00772E80"/>
    <w:rsid w:val="00776498"/>
    <w:rsid w:val="007A24D6"/>
    <w:rsid w:val="007C4A14"/>
    <w:rsid w:val="00847FD2"/>
    <w:rsid w:val="00851337"/>
    <w:rsid w:val="00881C81"/>
    <w:rsid w:val="008B79C8"/>
    <w:rsid w:val="008C6E0C"/>
    <w:rsid w:val="0094686E"/>
    <w:rsid w:val="00951A96"/>
    <w:rsid w:val="00981DE3"/>
    <w:rsid w:val="009A7A87"/>
    <w:rsid w:val="009B2EDD"/>
    <w:rsid w:val="009B4368"/>
    <w:rsid w:val="009B4B00"/>
    <w:rsid w:val="009B7F37"/>
    <w:rsid w:val="009C00D6"/>
    <w:rsid w:val="009C350E"/>
    <w:rsid w:val="009D34E9"/>
    <w:rsid w:val="009D5B45"/>
    <w:rsid w:val="00A04A9A"/>
    <w:rsid w:val="00A217B0"/>
    <w:rsid w:val="00A847AC"/>
    <w:rsid w:val="00A9152C"/>
    <w:rsid w:val="00AC38E1"/>
    <w:rsid w:val="00AD6BC4"/>
    <w:rsid w:val="00AE5AD1"/>
    <w:rsid w:val="00AE6615"/>
    <w:rsid w:val="00AF27D4"/>
    <w:rsid w:val="00B03588"/>
    <w:rsid w:val="00B47302"/>
    <w:rsid w:val="00B75C26"/>
    <w:rsid w:val="00BC051B"/>
    <w:rsid w:val="00BC7569"/>
    <w:rsid w:val="00BE5FA7"/>
    <w:rsid w:val="00C122DA"/>
    <w:rsid w:val="00C242F7"/>
    <w:rsid w:val="00CF6C0D"/>
    <w:rsid w:val="00D27F1A"/>
    <w:rsid w:val="00D44ECC"/>
    <w:rsid w:val="00D62569"/>
    <w:rsid w:val="00D63B29"/>
    <w:rsid w:val="00DA1C31"/>
    <w:rsid w:val="00DC19BC"/>
    <w:rsid w:val="00DC6D85"/>
    <w:rsid w:val="00E23F03"/>
    <w:rsid w:val="00E8566F"/>
    <w:rsid w:val="00EA6F37"/>
    <w:rsid w:val="00EE2A9C"/>
    <w:rsid w:val="00EF4691"/>
    <w:rsid w:val="00F21B18"/>
    <w:rsid w:val="00F60BBB"/>
    <w:rsid w:val="00F82D93"/>
    <w:rsid w:val="00F83858"/>
    <w:rsid w:val="00F83EC8"/>
    <w:rsid w:val="00FA0C41"/>
    <w:rsid w:val="00FA114F"/>
    <w:rsid w:val="00FE6D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8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7D88"/>
    <w:rPr>
      <w:rFonts w:cs="Times New Roman"/>
      <w:color w:val="0000FF"/>
      <w:u w:val="single"/>
    </w:rPr>
  </w:style>
  <w:style w:type="paragraph" w:styleId="NormalWeb">
    <w:name w:val="Normal (Web)"/>
    <w:basedOn w:val="Normal"/>
    <w:uiPriority w:val="99"/>
    <w:semiHidden/>
    <w:rsid w:val="00D63B29"/>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semiHidden/>
    <w:rsid w:val="008C6E0C"/>
    <w:rPr>
      <w:rFonts w:cs="Times New Roman"/>
      <w:sz w:val="16"/>
    </w:rPr>
  </w:style>
  <w:style w:type="paragraph" w:styleId="CommentText">
    <w:name w:val="annotation text"/>
    <w:basedOn w:val="Normal"/>
    <w:link w:val="CommentTextChar"/>
    <w:uiPriority w:val="99"/>
    <w:semiHidden/>
    <w:rsid w:val="008C6E0C"/>
    <w:rPr>
      <w:sz w:val="20"/>
      <w:szCs w:val="20"/>
    </w:rPr>
  </w:style>
  <w:style w:type="character" w:customStyle="1" w:styleId="CommentTextChar">
    <w:name w:val="Comment Text Char"/>
    <w:basedOn w:val="DefaultParagraphFont"/>
    <w:link w:val="CommentText"/>
    <w:uiPriority w:val="99"/>
    <w:semiHidden/>
    <w:locked/>
    <w:rsid w:val="008C6E0C"/>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8C6E0C"/>
    <w:rPr>
      <w:b/>
      <w:bCs/>
    </w:rPr>
  </w:style>
  <w:style w:type="character" w:customStyle="1" w:styleId="CommentSubjectChar">
    <w:name w:val="Comment Subject Char"/>
    <w:basedOn w:val="CommentTextChar"/>
    <w:link w:val="CommentSubject"/>
    <w:uiPriority w:val="99"/>
    <w:semiHidden/>
    <w:locked/>
    <w:rsid w:val="008C6E0C"/>
    <w:rPr>
      <w:b/>
    </w:rPr>
  </w:style>
  <w:style w:type="paragraph" w:styleId="BalloonText">
    <w:name w:val="Balloon Text"/>
    <w:basedOn w:val="Normal"/>
    <w:link w:val="BalloonTextChar"/>
    <w:uiPriority w:val="99"/>
    <w:semiHidden/>
    <w:rsid w:val="008C6E0C"/>
    <w:rPr>
      <w:rFonts w:ascii="Tahoma" w:hAnsi="Tahoma"/>
      <w:sz w:val="16"/>
      <w:szCs w:val="16"/>
    </w:rPr>
  </w:style>
  <w:style w:type="character" w:customStyle="1" w:styleId="BalloonTextChar">
    <w:name w:val="Balloon Text Char"/>
    <w:basedOn w:val="DefaultParagraphFont"/>
    <w:link w:val="BalloonText"/>
    <w:uiPriority w:val="99"/>
    <w:semiHidden/>
    <w:locked/>
    <w:rsid w:val="008C6E0C"/>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55727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arizona.edu/depts/iplp/international/Hulquminum.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lquminum.bc.ca/news" TargetMode="External"/><Relationship Id="rId5" Type="http://schemas.openxmlformats.org/officeDocument/2006/relationships/hyperlink" Target="http://www.cidh.oas.org/prensa.eng.htm" TargetMode="External"/><Relationship Id="rId4" Type="http://schemas.openxmlformats.org/officeDocument/2006/relationships/hyperlink" Target="mailto:mrivero@oa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1082</Words>
  <Characters>6169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Seanna Howard</dc:creator>
  <cp:keywords/>
  <dc:description/>
  <cp:lastModifiedBy>Gail Davidson</cp:lastModifiedBy>
  <cp:revision>2</cp:revision>
  <dcterms:created xsi:type="dcterms:W3CDTF">2011-10-05T17:34:00Z</dcterms:created>
  <dcterms:modified xsi:type="dcterms:W3CDTF">2011-10-05T17:34:00Z</dcterms:modified>
</cp:coreProperties>
</file>